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391" w:rsidRPr="00FA784E" w:rsidRDefault="00DE3CB2" w:rsidP="0024463A">
      <w:pPr>
        <w:spacing w:after="0"/>
        <w:jc w:val="both"/>
        <w:rPr>
          <w:rFonts w:ascii="Tahoma" w:hAnsi="Tahoma" w:cs="Tahoma"/>
          <w:b/>
          <w:sz w:val="16"/>
          <w:szCs w:val="16"/>
        </w:rPr>
      </w:pPr>
      <w:r>
        <w:rPr>
          <w:rFonts w:ascii="Tahoma" w:hAnsi="Tahoma" w:cs="Tahoma"/>
          <w:sz w:val="16"/>
          <w:szCs w:val="16"/>
        </w:rPr>
        <w:t>Załącznik nr 4</w:t>
      </w:r>
      <w:r w:rsidR="00551DE1" w:rsidRPr="00FA784E">
        <w:rPr>
          <w:rFonts w:ascii="Tahoma" w:hAnsi="Tahoma" w:cs="Tahoma"/>
          <w:sz w:val="16"/>
          <w:szCs w:val="16"/>
        </w:rPr>
        <w:t xml:space="preserve"> do </w:t>
      </w:r>
      <w:bookmarkStart w:id="0" w:name="_GoBack"/>
      <w:r w:rsidR="007027FC">
        <w:rPr>
          <w:rFonts w:ascii="Tahoma" w:hAnsi="Tahoma" w:cs="Tahoma"/>
          <w:sz w:val="16"/>
          <w:szCs w:val="16"/>
        </w:rPr>
        <w:t>Zasad</w:t>
      </w:r>
      <w:bookmarkEnd w:id="0"/>
      <w:r w:rsidR="00551DE1" w:rsidRPr="00FA784E">
        <w:rPr>
          <w:rFonts w:ascii="Tahoma" w:hAnsi="Tahoma" w:cs="Tahoma"/>
          <w:sz w:val="16"/>
          <w:szCs w:val="16"/>
        </w:rPr>
        <w:t xml:space="preserve">: </w:t>
      </w:r>
      <w:r w:rsidR="00B60391" w:rsidRPr="00FA784E">
        <w:rPr>
          <w:rFonts w:ascii="Tahoma" w:hAnsi="Tahoma" w:cs="Tahoma"/>
          <w:sz w:val="16"/>
          <w:szCs w:val="16"/>
        </w:rPr>
        <w:t xml:space="preserve">Szczegółowe obowiązki Beneficjenta wynikające z realizacji projektu </w:t>
      </w:r>
      <w:r w:rsidR="00C675D4">
        <w:rPr>
          <w:rFonts w:ascii="Tahoma" w:hAnsi="Tahoma" w:cs="Tahoma"/>
          <w:sz w:val="16"/>
          <w:szCs w:val="16"/>
        </w:rPr>
        <w:t xml:space="preserve">w ramach </w:t>
      </w:r>
      <w:r w:rsidR="004F6D09">
        <w:rPr>
          <w:rFonts w:ascii="Tahoma" w:hAnsi="Tahoma" w:cs="Tahoma"/>
          <w:sz w:val="16"/>
          <w:szCs w:val="16"/>
        </w:rPr>
        <w:t xml:space="preserve">konkursu </w:t>
      </w:r>
      <w:r w:rsidR="0019115B">
        <w:rPr>
          <w:rFonts w:ascii="Arial" w:hAnsi="Arial" w:cs="Arial"/>
          <w:sz w:val="18"/>
          <w:szCs w:val="18"/>
        </w:rPr>
        <w:t>RPSL.09.02.05</w:t>
      </w:r>
      <w:r w:rsidR="0024463A">
        <w:rPr>
          <w:rFonts w:ascii="Arial" w:hAnsi="Arial" w:cs="Arial"/>
          <w:sz w:val="18"/>
          <w:szCs w:val="18"/>
        </w:rPr>
        <w:t>-IZ.01-24-26</w:t>
      </w:r>
      <w:r w:rsidR="00B03506">
        <w:rPr>
          <w:rFonts w:ascii="Arial" w:hAnsi="Arial" w:cs="Arial"/>
          <w:sz w:val="18"/>
          <w:szCs w:val="18"/>
        </w:rPr>
        <w:t>2</w:t>
      </w:r>
      <w:r w:rsidR="004F6D09">
        <w:rPr>
          <w:rFonts w:ascii="Arial" w:hAnsi="Arial" w:cs="Arial"/>
          <w:sz w:val="18"/>
          <w:szCs w:val="18"/>
        </w:rPr>
        <w:t>/18</w:t>
      </w:r>
    </w:p>
    <w:p w:rsidR="001C50C4" w:rsidRDefault="001C50C4" w:rsidP="00551DE1">
      <w:pPr>
        <w:rPr>
          <w:sz w:val="20"/>
          <w:szCs w:val="20"/>
        </w:rPr>
      </w:pPr>
    </w:p>
    <w:p w:rsidR="001C50C4" w:rsidRDefault="00AA6E27" w:rsidP="00551DE1">
      <w:pPr>
        <w:rPr>
          <w:sz w:val="20"/>
          <w:szCs w:val="20"/>
        </w:rPr>
      </w:pPr>
      <w:r>
        <w:rPr>
          <w:noProof/>
          <w:lang w:eastAsia="pl-PL"/>
        </w:rPr>
        <w:drawing>
          <wp:inline distT="0" distB="0" distL="0" distR="0" wp14:anchorId="3748AE6D" wp14:editId="7A585E2A">
            <wp:extent cx="5683885" cy="541020"/>
            <wp:effectExtent l="0" t="0" r="0" b="0"/>
            <wp:docPr id="2" name="Obraz 7" descr="C:\Users\pelczara\AppData\Local\Microsoft\Windows\Temporary Internet Files\Content.Outlook\6F083VBQ\EFS kolor.jpg"/>
            <wp:cNvGraphicFramePr/>
            <a:graphic xmlns:a="http://schemas.openxmlformats.org/drawingml/2006/main">
              <a:graphicData uri="http://schemas.openxmlformats.org/drawingml/2006/picture">
                <pic:pic xmlns:pic="http://schemas.openxmlformats.org/drawingml/2006/picture">
                  <pic:nvPicPr>
                    <pic:cNvPr id="2" name="Obraz 7" descr="C:\Users\pelczara\AppData\Local\Microsoft\Windows\Temporary Internet Files\Content.Outlook\6F083VBQ\EFS kolor.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3885" cy="541020"/>
                    </a:xfrm>
                    <a:prstGeom prst="rect">
                      <a:avLst/>
                    </a:prstGeom>
                    <a:noFill/>
                    <a:ln>
                      <a:noFill/>
                    </a:ln>
                  </pic:spPr>
                </pic:pic>
              </a:graphicData>
            </a:graphic>
          </wp:inline>
        </w:drawing>
      </w:r>
    </w:p>
    <w:p w:rsidR="006035AC" w:rsidRDefault="006035AC" w:rsidP="006035AC">
      <w:pPr>
        <w:pStyle w:val="Tekstpodstawowy"/>
        <w:jc w:val="right"/>
        <w:rPr>
          <w:rFonts w:ascii="Arial" w:hAnsi="Arial" w:cs="Arial"/>
          <w:sz w:val="20"/>
          <w:szCs w:val="20"/>
        </w:rPr>
      </w:pPr>
    </w:p>
    <w:p w:rsidR="00BB426B" w:rsidRDefault="00BB426B" w:rsidP="006035AC">
      <w:pPr>
        <w:pStyle w:val="Tekstpodstawowy"/>
        <w:jc w:val="right"/>
        <w:rPr>
          <w:rFonts w:ascii="Arial" w:hAnsi="Arial" w:cs="Arial"/>
          <w:sz w:val="20"/>
          <w:szCs w:val="20"/>
        </w:rPr>
      </w:pPr>
    </w:p>
    <w:p w:rsidR="006035AC" w:rsidRPr="00272F8B" w:rsidRDefault="006035AC" w:rsidP="006A02DF">
      <w:pPr>
        <w:pStyle w:val="Tekstpodstawowy"/>
        <w:rPr>
          <w:rFonts w:ascii="Arial" w:hAnsi="Arial" w:cs="Arial"/>
        </w:rPr>
      </w:pPr>
    </w:p>
    <w:p w:rsidR="00B03506" w:rsidRDefault="0007169F" w:rsidP="00B03506">
      <w:pPr>
        <w:spacing w:after="0"/>
        <w:jc w:val="center"/>
        <w:rPr>
          <w:rFonts w:ascii="Arial" w:eastAsia="Times New Roman" w:hAnsi="Arial" w:cs="Arial"/>
          <w:b/>
          <w:sz w:val="28"/>
          <w:szCs w:val="28"/>
          <w:lang w:eastAsia="pl-PL"/>
        </w:rPr>
      </w:pPr>
      <w:r w:rsidRPr="00B03506">
        <w:rPr>
          <w:rFonts w:ascii="Arial" w:hAnsi="Arial" w:cs="Arial"/>
          <w:b/>
          <w:sz w:val="28"/>
          <w:szCs w:val="28"/>
        </w:rPr>
        <w:t>Szczegółowe obowiązki Beneficjenta wynikające z</w:t>
      </w:r>
      <w:r w:rsidR="003E32FF" w:rsidRPr="00B03506">
        <w:rPr>
          <w:rFonts w:ascii="Arial" w:hAnsi="Arial" w:cs="Arial"/>
          <w:b/>
          <w:sz w:val="28"/>
          <w:szCs w:val="28"/>
        </w:rPr>
        <w:t xml:space="preserve"> realizacji projektu </w:t>
      </w:r>
      <w:r w:rsidR="004F6D09" w:rsidRPr="00B03506">
        <w:rPr>
          <w:rFonts w:ascii="Arial" w:hAnsi="Arial" w:cs="Arial"/>
          <w:b/>
          <w:sz w:val="28"/>
          <w:szCs w:val="28"/>
        </w:rPr>
        <w:t>w ramach P</w:t>
      </w:r>
      <w:r w:rsidRPr="00B03506">
        <w:rPr>
          <w:rFonts w:ascii="Arial" w:hAnsi="Arial" w:cs="Arial"/>
          <w:b/>
          <w:sz w:val="28"/>
          <w:szCs w:val="28"/>
        </w:rPr>
        <w:t xml:space="preserve">oddziałania </w:t>
      </w:r>
      <w:r w:rsidR="0061799C">
        <w:rPr>
          <w:rFonts w:ascii="Arial" w:hAnsi="Arial" w:cs="Arial"/>
          <w:b/>
          <w:sz w:val="28"/>
          <w:szCs w:val="28"/>
        </w:rPr>
        <w:t>9.2.5</w:t>
      </w:r>
      <w:r w:rsidR="00B03506" w:rsidRPr="00B03506">
        <w:rPr>
          <w:rFonts w:ascii="Arial" w:hAnsi="Arial" w:cs="Arial"/>
          <w:b/>
          <w:sz w:val="28"/>
          <w:szCs w:val="28"/>
        </w:rPr>
        <w:t xml:space="preserve"> </w:t>
      </w:r>
      <w:r w:rsidR="00B03506" w:rsidRPr="00B03506">
        <w:rPr>
          <w:rFonts w:ascii="Arial" w:eastAsia="Times New Roman" w:hAnsi="Arial" w:cs="Arial"/>
          <w:b/>
          <w:sz w:val="28"/>
          <w:szCs w:val="28"/>
          <w:lang w:eastAsia="pl-PL"/>
        </w:rPr>
        <w:t xml:space="preserve">Rozwój usług społecznych </w:t>
      </w:r>
    </w:p>
    <w:p w:rsidR="00B03506" w:rsidRDefault="0061799C" w:rsidP="00B03506">
      <w:pPr>
        <w:spacing w:after="0"/>
        <w:jc w:val="center"/>
        <w:rPr>
          <w:rFonts w:ascii="Arial" w:hAnsi="Arial" w:cs="Arial"/>
          <w:b/>
          <w:sz w:val="28"/>
          <w:szCs w:val="28"/>
        </w:rPr>
      </w:pPr>
      <w:r>
        <w:rPr>
          <w:rFonts w:ascii="Arial" w:eastAsia="Times New Roman" w:hAnsi="Arial" w:cs="Arial"/>
          <w:b/>
          <w:sz w:val="28"/>
          <w:szCs w:val="28"/>
          <w:lang w:eastAsia="pl-PL"/>
        </w:rPr>
        <w:t>- konkurs</w:t>
      </w:r>
      <w:r w:rsidR="00042002" w:rsidRPr="00B03506">
        <w:rPr>
          <w:rFonts w:ascii="Arial" w:hAnsi="Arial" w:cs="Arial"/>
          <w:b/>
          <w:sz w:val="28"/>
          <w:szCs w:val="28"/>
        </w:rPr>
        <w:t xml:space="preserve">, </w:t>
      </w:r>
    </w:p>
    <w:p w:rsidR="00042002" w:rsidRPr="00B03506" w:rsidRDefault="00042002" w:rsidP="00B03506">
      <w:pPr>
        <w:spacing w:after="0"/>
        <w:jc w:val="center"/>
        <w:rPr>
          <w:rFonts w:ascii="Arial" w:hAnsi="Arial" w:cs="Arial"/>
          <w:sz w:val="28"/>
          <w:szCs w:val="28"/>
        </w:rPr>
      </w:pPr>
      <w:r w:rsidRPr="00B03506">
        <w:rPr>
          <w:rFonts w:ascii="Arial" w:hAnsi="Arial" w:cs="Arial"/>
          <w:b/>
          <w:sz w:val="28"/>
          <w:szCs w:val="28"/>
        </w:rPr>
        <w:t xml:space="preserve">Regionalnego Programu Operacyjnego Województwa Śląskiego </w:t>
      </w:r>
      <w:r w:rsidRPr="00B03506">
        <w:rPr>
          <w:rFonts w:ascii="Arial" w:hAnsi="Arial" w:cs="Arial"/>
          <w:b/>
          <w:sz w:val="28"/>
          <w:szCs w:val="28"/>
        </w:rPr>
        <w:br/>
        <w:t>na lata 2014-2020.</w:t>
      </w:r>
    </w:p>
    <w:p w:rsidR="00042002" w:rsidRPr="00272F8B" w:rsidRDefault="00042002" w:rsidP="00042002">
      <w:pPr>
        <w:spacing w:line="360" w:lineRule="auto"/>
        <w:ind w:left="284" w:hanging="284"/>
        <w:jc w:val="both"/>
        <w:rPr>
          <w:rFonts w:ascii="Arial" w:hAnsi="Arial" w:cs="Arial"/>
          <w:b/>
          <w:color w:val="FF0000"/>
          <w:sz w:val="24"/>
          <w:szCs w:val="24"/>
        </w:rPr>
      </w:pP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Usługi społeczne są realizowane przez podmioty prowadzące w swojej działalności statutowej usługi społeczne lub przez podmioty prowadzące w swojej działalności statutowej jednocześnie usługi społeczne </w:t>
      </w:r>
      <w:r w:rsidRPr="00D424FD">
        <w:rPr>
          <w:rFonts w:ascii="Arial" w:eastAsia="Calibri" w:hAnsi="Arial" w:cs="Arial"/>
          <w:color w:val="000000"/>
          <w:sz w:val="24"/>
          <w:szCs w:val="24"/>
        </w:rPr>
        <w:br/>
        <w:t xml:space="preserve">i zdrowotne.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jest zobowiązany do poinformowania właściwych terytorialnie ośrodków pomocy społecznej i/lub organizacji partnerskich regionalnych i lokalnych, o których mowa w PO PŻ, o prowadzonej rekrutacji do projektu, a także do niepowielania wsparcia, które osoba lub rodzina zagrożona ubóstwem lub wykluczeniem społecznym uzyskuje w ramach działań towarzyszących z PO PŻ. </w:t>
      </w:r>
    </w:p>
    <w:p w:rsidR="00D424FD" w:rsidRPr="00D424FD" w:rsidRDefault="00D424FD" w:rsidP="00D424FD">
      <w:pPr>
        <w:numPr>
          <w:ilvl w:val="0"/>
          <w:numId w:val="34"/>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Beneficjent w regulaminie rekrutacji zapewnia, że wsparcie w postaci usług opiekuńczych i asystenckich jest adresowane w pierwszej kolejności do osób z niepełnosprawnościami i osób niesamodzielnych, których dochód nie przekracza 150% właściwego kryterium dochodowego (na osobę samotnie gospodarującą lub na osobę w rodzinie), o którym mowa w ustawie z dnia 12 marca 2004 r. o pomocy społecznej.</w:t>
      </w:r>
    </w:p>
    <w:p w:rsidR="00D424FD" w:rsidRPr="00D424FD" w:rsidRDefault="00D424FD" w:rsidP="00D424FD">
      <w:pPr>
        <w:numPr>
          <w:ilvl w:val="0"/>
          <w:numId w:val="34"/>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 xml:space="preserve">Podczas przeprowadzonej rekrutacji osób, którym udzielane będą usługi społeczne, Beneficjent jest zobowiązany do preferowania następujących uczestników do projektu: </w:t>
      </w:r>
    </w:p>
    <w:p w:rsidR="00D424FD" w:rsidRPr="00D424FD" w:rsidRDefault="00D424FD" w:rsidP="00D424FD">
      <w:pPr>
        <w:numPr>
          <w:ilvl w:val="0"/>
          <w:numId w:val="36"/>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 xml:space="preserve">osób lub rodzin zagrożonych ubóstwem lub wykluczeniem społecznym, doświadczających wielokrotnego wykluczenia społecznego rozumianego jako wykluczenie z powodu więcej niż jednej z przesłanek (współwystępowanie różnych przesłanek), </w:t>
      </w:r>
    </w:p>
    <w:p w:rsidR="00D424FD" w:rsidRPr="00D424FD" w:rsidRDefault="00D424FD" w:rsidP="00D424FD">
      <w:pPr>
        <w:numPr>
          <w:ilvl w:val="0"/>
          <w:numId w:val="36"/>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 xml:space="preserve">osoby o znacznym lub umiarkowanym stopniu niepełnosprawności, </w:t>
      </w:r>
      <w:r w:rsidRPr="00D424FD">
        <w:rPr>
          <w:rFonts w:ascii="Arial" w:eastAsia="Calibri" w:hAnsi="Arial" w:cs="Arial"/>
          <w:color w:val="000000"/>
          <w:sz w:val="24"/>
          <w:szCs w:val="24"/>
        </w:rPr>
        <w:br/>
        <w:t xml:space="preserve">z niepełnosprawnością sprzężoną oraz osoby z zaburzeniami psychicznymi, </w:t>
      </w:r>
      <w:r w:rsidRPr="00D424FD">
        <w:rPr>
          <w:rFonts w:ascii="Arial" w:eastAsia="Calibri" w:hAnsi="Arial" w:cs="Arial"/>
          <w:color w:val="000000"/>
          <w:sz w:val="24"/>
          <w:szCs w:val="24"/>
        </w:rPr>
        <w:br/>
        <w:t xml:space="preserve">w tym osoby z niepełnosprawnością intelektualną i osoby z całościowymi </w:t>
      </w:r>
      <w:r w:rsidRPr="00D424FD">
        <w:rPr>
          <w:rFonts w:ascii="Arial" w:eastAsia="Calibri" w:hAnsi="Arial" w:cs="Arial"/>
          <w:color w:val="000000"/>
          <w:sz w:val="24"/>
          <w:szCs w:val="24"/>
        </w:rPr>
        <w:lastRenderedPageBreak/>
        <w:t>zaburzeniami rozwojowymi (w rozumieniu zgodnym z Międzynarodową Klasyfikacją Chorób i Problemów Zdrowotnych);</w:t>
      </w:r>
    </w:p>
    <w:p w:rsidR="00D424FD" w:rsidRPr="00D424FD" w:rsidRDefault="00D424FD" w:rsidP="00D424FD">
      <w:pPr>
        <w:numPr>
          <w:ilvl w:val="0"/>
          <w:numId w:val="36"/>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 xml:space="preserve">osoby lub rodziny korzystające z PO PŻ, pod warunkiem, że zakres wsparcia dla tych osób lub rodzin nie będzie powielał działań, które dana osoba lub rodzina otrzymała lub otrzymuje z PO PŻ w ramach działań towarzyszących, </w:t>
      </w:r>
      <w:r w:rsidRPr="00D424FD">
        <w:rPr>
          <w:rFonts w:ascii="Arial" w:eastAsia="Calibri" w:hAnsi="Arial" w:cs="Arial"/>
          <w:color w:val="000000"/>
          <w:sz w:val="24"/>
          <w:szCs w:val="24"/>
        </w:rPr>
        <w:br/>
        <w:t>o których mowa w PO PŻ.</w:t>
      </w:r>
    </w:p>
    <w:p w:rsidR="00D424FD" w:rsidRPr="00D424FD" w:rsidRDefault="00D424FD" w:rsidP="00D424FD">
      <w:pPr>
        <w:autoSpaceDE w:val="0"/>
        <w:autoSpaceDN w:val="0"/>
        <w:adjustRightInd w:val="0"/>
        <w:spacing w:before="120" w:after="120" w:line="276" w:lineRule="auto"/>
        <w:ind w:left="360"/>
        <w:jc w:val="both"/>
        <w:rPr>
          <w:rFonts w:ascii="Arial" w:eastAsia="Calibri" w:hAnsi="Arial" w:cs="Arial"/>
          <w:color w:val="000000"/>
          <w:sz w:val="24"/>
          <w:szCs w:val="24"/>
        </w:rPr>
      </w:pPr>
    </w:p>
    <w:p w:rsidR="00D424FD" w:rsidRPr="00D424FD" w:rsidRDefault="00D424FD" w:rsidP="00D424FD">
      <w:pPr>
        <w:numPr>
          <w:ilvl w:val="0"/>
          <w:numId w:val="34"/>
        </w:numPr>
        <w:autoSpaceDE w:val="0"/>
        <w:autoSpaceDN w:val="0"/>
        <w:adjustRightInd w:val="0"/>
        <w:spacing w:before="120" w:after="120" w:line="276" w:lineRule="auto"/>
        <w:jc w:val="both"/>
        <w:rPr>
          <w:rFonts w:ascii="Arial" w:eastAsia="Calibri" w:hAnsi="Arial" w:cs="Arial"/>
          <w:color w:val="000000"/>
          <w:sz w:val="24"/>
          <w:szCs w:val="24"/>
        </w:rPr>
      </w:pPr>
      <w:r w:rsidRPr="00D424FD">
        <w:rPr>
          <w:rFonts w:ascii="Arial" w:eastAsia="Calibri" w:hAnsi="Arial" w:cs="Arial"/>
          <w:color w:val="000000"/>
          <w:sz w:val="24"/>
          <w:szCs w:val="24"/>
        </w:rPr>
        <w:t>Beneficjent zapewnia, że w przypadku kierowania wsparcia do otoczenia osób zagrożonych ubóstwem lub wykluczeniem społecznym,  jest ono niezbędne dla skutecznego wsparcia osób zagrożonych ubóstwem lub wykluczeniem społecznym.</w:t>
      </w:r>
    </w:p>
    <w:p w:rsidR="00D424FD" w:rsidRPr="00D424FD" w:rsidRDefault="00D424FD" w:rsidP="00D424FD">
      <w:pPr>
        <w:autoSpaceDE w:val="0"/>
        <w:autoSpaceDN w:val="0"/>
        <w:adjustRightInd w:val="0"/>
        <w:spacing w:before="120" w:after="120" w:line="276" w:lineRule="auto"/>
        <w:jc w:val="both"/>
        <w:rPr>
          <w:rFonts w:ascii="Arial" w:eastAsia="Calibri" w:hAnsi="Arial" w:cs="Arial"/>
          <w:color w:val="000000"/>
          <w:sz w:val="24"/>
          <w:szCs w:val="24"/>
        </w:rPr>
      </w:pP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jest zobowiązany do zachowania trwałości miejsc świadczenia usług asystenckich i opiekuńczych utworzonych w ramach projektu po zakończeniu realizacji projektu co najmniej przez okres odpowiadający okresowi realizacji projektu. Trwałość jest rozumiana jako instytucjonalna gotowość podmiotów do świadczenia usług. IZ RPO weryfikuje spełnienie powyższego warunku po upływie okresu wskazanego w decyzji lub umowie o dofinansowanie projektu.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jest zobowiązany do zachowania trwałości miejsc świadczenia usług w mieszkaniach chronionych lub mieszkaniach wspomaganych utworzonych </w:t>
      </w:r>
      <w:r w:rsidRPr="00D424FD">
        <w:rPr>
          <w:rFonts w:ascii="Arial" w:eastAsia="Calibri" w:hAnsi="Arial" w:cs="Arial"/>
          <w:color w:val="000000"/>
          <w:sz w:val="24"/>
          <w:szCs w:val="24"/>
        </w:rPr>
        <w:br/>
        <w:t xml:space="preserve">w ramach projektu po zakończeniu realizacji projektu co najmniej przez okres równy okresowi realizacji projektu. Trwałość powinna być rozumiana jako instytucjonalna gotowość podmiotów do świadczenia usług. IZ RPO weryfikuje spełnienie powyższego warunku po upływie okresu wskazanego w decyzji o dofinansowaniu projektu lub umowie o dofinansowanie projektu.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jest zobowiązany do publikowania w okresie trwałości aktualnej informacji dotyczącej liczby miejsc oferowanych przez niego po zakończeniu realizacji projektu na swojej stronie internetowej, w taki sposób, aby potencjalni odbiorcy wiedzieli, że mogą zgłosić się po usługę.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Beneficjent zobowiązuje się, że wsparcie dla osób niesamodzielnych realizowane w ramach projektu odbywa się zgodnie z „Ogólnoeuropejskimi wytycznymi dotyczącymi przejścia od opieki instytucjonalnej do opieki świadczonej na poziomie lokalnych społeczności” i dokumentem „Wykorzystanie funduszy Unii Europejskiej w celu przejścia od opieki instytucjonalnej do opieki świadczonej na poziomie lokalnych społeczności zestaw- narzędzi.”</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zapewnia, że usługi społeczne świadczone są w społeczności lokalnej.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W przypadku realizacji usług opiekuńczych w projekcie, Beneficjent zobowiązuje się, że wsparcie dla usług opiekuńczych prowadzi każdorazowo do zwiększenia liczby miejsc świadczenia usług opiekuńczych w społeczności lokalnej </w:t>
      </w:r>
      <w:r w:rsidRPr="00D424FD">
        <w:rPr>
          <w:rFonts w:ascii="Arial" w:eastAsia="Calibri" w:hAnsi="Arial" w:cs="Arial"/>
          <w:color w:val="000000"/>
          <w:sz w:val="24"/>
          <w:szCs w:val="24"/>
        </w:rPr>
        <w:lastRenderedPageBreak/>
        <w:t xml:space="preserve">oraz liczby osób objętych usługami świadczonymi w społeczności lokalnej przez danego beneficjenta w stosunku do danych z roku poprzedzającego rok złożenia wniosku o dofinansowanie projektu. Obowiązek zwiększania liczby miejsc świadczenia usług opiekuńczych oraz liczby osób objętych usługami nie dotyczy wsparcia dla usług opiekuńczych świadczonych przez opiekunów faktycznych.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W przypadku realizacji usług asystenckich w projekcie, Beneficjent zobowiązuje się, że wsparcie dla usług asystenckich prowadzi każdorazowo do zwiększenia liczby miejsc świadczenia usług asystenckich w społeczności lokalnej oraz liczby osób objętych usługami świadczonymi w społeczności lokalnej przez danego Beneficjenta w stosunku do danych z roku poprzedzającego rok złożenia wniosku o dofinansowanie projektu. Możliwa jest realizacja wsparcia w postaci usług asystenckich dla osób przebywających w opiece instytucjonalnej w celu ich przejścia do usług świadczonych w społeczności lokalnej.</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Beneficjent zapewnia, że wsparcie dla usług asystenckich odbywa się poprzez zwiększanie liczby asystentów funkcjonujących w ramach nowych podmiotów lub podmiotów istniejących, z zastrzeżeniem wynikającym z pkt 9.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W przypadku realizacji usług opiekuńczych lub asystenckich Beneficjent zobowiązuje się, że wsparcie w ramach projektu nie spowoduje: </w:t>
      </w:r>
    </w:p>
    <w:p w:rsidR="00D424FD" w:rsidRPr="00D424FD" w:rsidRDefault="00D424FD" w:rsidP="00D424FD">
      <w:pPr>
        <w:autoSpaceDE w:val="0"/>
        <w:autoSpaceDN w:val="0"/>
        <w:adjustRightInd w:val="0"/>
        <w:spacing w:before="120" w:after="120" w:line="276" w:lineRule="auto"/>
        <w:ind w:left="708"/>
        <w:jc w:val="both"/>
        <w:rPr>
          <w:rFonts w:ascii="Arial" w:eastAsia="Calibri" w:hAnsi="Arial" w:cs="Arial"/>
          <w:color w:val="000000"/>
          <w:sz w:val="24"/>
          <w:szCs w:val="24"/>
        </w:rPr>
      </w:pPr>
      <w:r w:rsidRPr="00D424FD">
        <w:rPr>
          <w:rFonts w:ascii="Arial" w:eastAsia="Calibri" w:hAnsi="Arial" w:cs="Arial"/>
          <w:color w:val="000000"/>
          <w:sz w:val="24"/>
          <w:szCs w:val="24"/>
        </w:rPr>
        <w:t xml:space="preserve">a) zmniejszenia dotychczasowego finansowania usług asystenckich lub opiekuńczych przez beneficjenta oraz </w:t>
      </w:r>
    </w:p>
    <w:p w:rsidR="00D424FD" w:rsidRPr="00D424FD" w:rsidRDefault="00D424FD" w:rsidP="00D424FD">
      <w:pPr>
        <w:autoSpaceDE w:val="0"/>
        <w:autoSpaceDN w:val="0"/>
        <w:adjustRightInd w:val="0"/>
        <w:spacing w:before="120" w:after="120" w:line="276" w:lineRule="auto"/>
        <w:ind w:left="708"/>
        <w:jc w:val="both"/>
        <w:rPr>
          <w:rFonts w:ascii="Arial" w:eastAsia="Calibri" w:hAnsi="Arial" w:cs="Arial"/>
          <w:color w:val="000000"/>
          <w:sz w:val="24"/>
          <w:szCs w:val="24"/>
        </w:rPr>
      </w:pPr>
      <w:r w:rsidRPr="00D424FD">
        <w:rPr>
          <w:rFonts w:ascii="Arial" w:eastAsia="Calibri" w:hAnsi="Arial" w:cs="Arial"/>
          <w:color w:val="000000"/>
          <w:sz w:val="24"/>
          <w:szCs w:val="24"/>
        </w:rPr>
        <w:t xml:space="preserve">b) zastąpienia środkami projektu dotychczasowego finansowania usług ze środków innych niż europejskie.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W przypadku realizacji wsparcia istniejących mieszkań chronionych lub wspomaganych Beneficjent zobowiązuje się, że wsparcie istniejących mieszkań chronionych lub mieszkań wspomaganych jest możliwe wyłącznie pod warunkiem zwiększenia liczby miejsc świadczenia usług w danym mieszkaniu, bez pogorszenia jakości świadczonych usług. </w:t>
      </w:r>
    </w:p>
    <w:p w:rsidR="00D424FD" w:rsidRPr="00D424FD" w:rsidRDefault="00D424FD" w:rsidP="00D424FD">
      <w:pPr>
        <w:numPr>
          <w:ilvl w:val="0"/>
          <w:numId w:val="34"/>
        </w:numPr>
        <w:autoSpaceDE w:val="0"/>
        <w:autoSpaceDN w:val="0"/>
        <w:adjustRightInd w:val="0"/>
        <w:spacing w:before="120" w:after="120" w:line="276" w:lineRule="auto"/>
        <w:ind w:left="0" w:firstLine="0"/>
        <w:jc w:val="both"/>
        <w:rPr>
          <w:rFonts w:ascii="Arial" w:eastAsia="Calibri" w:hAnsi="Arial" w:cs="Arial"/>
          <w:color w:val="000000"/>
          <w:sz w:val="24"/>
          <w:szCs w:val="24"/>
        </w:rPr>
      </w:pPr>
      <w:r w:rsidRPr="00D424FD">
        <w:rPr>
          <w:rFonts w:ascii="Arial" w:eastAsia="Calibri" w:hAnsi="Arial" w:cs="Arial"/>
          <w:color w:val="000000"/>
          <w:sz w:val="24"/>
          <w:szCs w:val="24"/>
        </w:rPr>
        <w:t xml:space="preserve">W projektach dotyczących usług społecznych, w szczególności usług opiekuńczych możliwe jest finansowanie usług zdrowotnych jako uzupełnienie usług społecznych, w ile usługi te nie mogą zostać sfinansowane ze środków publicznych, tj. wykraczają poza gwarantowane świadczenia opieki zdrowotnej albo wykazanie zostało, że gwarantowana usługa zdrowotna nie może zostać sfinansowana danej osobie ze środków publicznych w okresie trwania projektu.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 </w:t>
      </w:r>
    </w:p>
    <w:p w:rsidR="00D424FD" w:rsidRPr="00D424FD" w:rsidRDefault="00D424FD" w:rsidP="00D424FD">
      <w:pPr>
        <w:jc w:val="both"/>
        <w:rPr>
          <w:rFonts w:ascii="Times New Roman" w:eastAsia="Calibri" w:hAnsi="Times New Roman" w:cs="Times New Roman"/>
          <w:sz w:val="24"/>
          <w:szCs w:val="24"/>
        </w:rPr>
      </w:pPr>
    </w:p>
    <w:p w:rsidR="001C0AA8" w:rsidRPr="006A02DF" w:rsidRDefault="001C0AA8" w:rsidP="006A02DF">
      <w:pPr>
        <w:jc w:val="both"/>
        <w:rPr>
          <w:rFonts w:ascii="Times New Roman" w:hAnsi="Times New Roman" w:cs="Times New Roman"/>
          <w:sz w:val="24"/>
          <w:szCs w:val="24"/>
        </w:rPr>
      </w:pPr>
    </w:p>
    <w:sectPr w:rsidR="001C0AA8" w:rsidRPr="006A02DF" w:rsidSect="006050E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347" w:rsidRDefault="00BD3347" w:rsidP="001C50C4">
      <w:pPr>
        <w:spacing w:after="0" w:line="240" w:lineRule="auto"/>
      </w:pPr>
      <w:r>
        <w:separator/>
      </w:r>
    </w:p>
  </w:endnote>
  <w:endnote w:type="continuationSeparator" w:id="0">
    <w:p w:rsidR="00BD3347" w:rsidRDefault="00BD3347" w:rsidP="001C50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347" w:rsidRDefault="00BD3347" w:rsidP="001C50C4">
      <w:pPr>
        <w:spacing w:after="0" w:line="240" w:lineRule="auto"/>
      </w:pPr>
      <w:r>
        <w:separator/>
      </w:r>
    </w:p>
  </w:footnote>
  <w:footnote w:type="continuationSeparator" w:id="0">
    <w:p w:rsidR="00BD3347" w:rsidRDefault="00BD3347" w:rsidP="001C50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6CB1"/>
    <w:multiLevelType w:val="hybridMultilevel"/>
    <w:tmpl w:val="23643046"/>
    <w:lvl w:ilvl="0" w:tplc="4E741F6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C997A2A"/>
    <w:multiLevelType w:val="hybridMultilevel"/>
    <w:tmpl w:val="D758DAEE"/>
    <w:lvl w:ilvl="0" w:tplc="04150013">
      <w:start w:val="1"/>
      <w:numFmt w:val="upperRoman"/>
      <w:lvlText w:val="%1."/>
      <w:lvlJc w:val="right"/>
      <w:pPr>
        <w:ind w:left="1440" w:hanging="360"/>
      </w:pPr>
    </w:lvl>
    <w:lvl w:ilvl="1" w:tplc="F97CD728">
      <w:start w:val="3"/>
      <w:numFmt w:val="decimal"/>
      <w:lvlText w:val="%2)"/>
      <w:lvlJc w:val="left"/>
      <w:pPr>
        <w:ind w:left="2160" w:hanging="360"/>
      </w:pPr>
      <w:rPr>
        <w:rFonts w:eastAsia="Times New Roman"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106C237A"/>
    <w:multiLevelType w:val="hybridMultilevel"/>
    <w:tmpl w:val="AD6A6AC6"/>
    <w:lvl w:ilvl="0" w:tplc="9264AE3C">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40B15AF"/>
    <w:multiLevelType w:val="hybridMultilevel"/>
    <w:tmpl w:val="2EBC716A"/>
    <w:lvl w:ilvl="0" w:tplc="154A1ADE">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
    <w:nsid w:val="18F3476D"/>
    <w:multiLevelType w:val="hybridMultilevel"/>
    <w:tmpl w:val="E9ECB28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5">
    <w:nsid w:val="1F0F490B"/>
    <w:multiLevelType w:val="hybridMultilevel"/>
    <w:tmpl w:val="BE007B0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09116DA"/>
    <w:multiLevelType w:val="hybridMultilevel"/>
    <w:tmpl w:val="BB38E088"/>
    <w:lvl w:ilvl="0" w:tplc="3DC40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B187207"/>
    <w:multiLevelType w:val="hybridMultilevel"/>
    <w:tmpl w:val="76DEBDB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C601EA7"/>
    <w:multiLevelType w:val="hybridMultilevel"/>
    <w:tmpl w:val="723264E0"/>
    <w:lvl w:ilvl="0" w:tplc="4A948992">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F4700F3"/>
    <w:multiLevelType w:val="hybridMultilevel"/>
    <w:tmpl w:val="049E7EE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FDA77FD"/>
    <w:multiLevelType w:val="hybridMultilevel"/>
    <w:tmpl w:val="C97A0016"/>
    <w:lvl w:ilvl="0" w:tplc="6EE235F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7D108D2"/>
    <w:multiLevelType w:val="hybridMultilevel"/>
    <w:tmpl w:val="7F6CDB9A"/>
    <w:lvl w:ilvl="0" w:tplc="2522D21A">
      <w:start w:val="1"/>
      <w:numFmt w:val="decimal"/>
      <w:lvlText w:val="%1)"/>
      <w:lvlJc w:val="left"/>
      <w:pPr>
        <w:ind w:left="720"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DF40C4B"/>
    <w:multiLevelType w:val="hybridMultilevel"/>
    <w:tmpl w:val="35B8399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3ED81CC3"/>
    <w:multiLevelType w:val="hybridMultilevel"/>
    <w:tmpl w:val="1A20C7AA"/>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14">
    <w:nsid w:val="3F8C1809"/>
    <w:multiLevelType w:val="hybridMultilevel"/>
    <w:tmpl w:val="33D84C2A"/>
    <w:lvl w:ilvl="0" w:tplc="37C03F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00C566D"/>
    <w:multiLevelType w:val="hybridMultilevel"/>
    <w:tmpl w:val="BC64D630"/>
    <w:lvl w:ilvl="0" w:tplc="9E105D52">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76958FF"/>
    <w:multiLevelType w:val="hybridMultilevel"/>
    <w:tmpl w:val="14429F4E"/>
    <w:lvl w:ilvl="0" w:tplc="DE448FE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8EF318D"/>
    <w:multiLevelType w:val="hybridMultilevel"/>
    <w:tmpl w:val="5BF2E516"/>
    <w:lvl w:ilvl="0" w:tplc="FE0CCE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AB11F7B"/>
    <w:multiLevelType w:val="hybridMultilevel"/>
    <w:tmpl w:val="783299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AE14C37"/>
    <w:multiLevelType w:val="hybridMultilevel"/>
    <w:tmpl w:val="C32ABF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D207C47"/>
    <w:multiLevelType w:val="hybridMultilevel"/>
    <w:tmpl w:val="0442B0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1219A0"/>
    <w:multiLevelType w:val="hybridMultilevel"/>
    <w:tmpl w:val="3FB2221C"/>
    <w:lvl w:ilvl="0" w:tplc="F46C7084">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516B4671"/>
    <w:multiLevelType w:val="hybridMultilevel"/>
    <w:tmpl w:val="1CEABF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23">
    <w:nsid w:val="54E7612E"/>
    <w:multiLevelType w:val="hybridMultilevel"/>
    <w:tmpl w:val="FA10E1F6"/>
    <w:lvl w:ilvl="0" w:tplc="3FF61E3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39668D"/>
    <w:multiLevelType w:val="hybridMultilevel"/>
    <w:tmpl w:val="DAF0DD4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C9466E6"/>
    <w:multiLevelType w:val="hybridMultilevel"/>
    <w:tmpl w:val="B95C982E"/>
    <w:lvl w:ilvl="0" w:tplc="147A118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D512612"/>
    <w:multiLevelType w:val="hybridMultilevel"/>
    <w:tmpl w:val="14DCA34E"/>
    <w:lvl w:ilvl="0" w:tplc="A29483CE">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0B97539"/>
    <w:multiLevelType w:val="hybridMultilevel"/>
    <w:tmpl w:val="C2B88218"/>
    <w:lvl w:ilvl="0" w:tplc="D0F4B260">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1CD4AA4"/>
    <w:multiLevelType w:val="hybridMultilevel"/>
    <w:tmpl w:val="7C5A081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3BC7C6A"/>
    <w:multiLevelType w:val="hybridMultilevel"/>
    <w:tmpl w:val="A7FE4B74"/>
    <w:lvl w:ilvl="0" w:tplc="0415001B">
      <w:start w:val="1"/>
      <w:numFmt w:val="lowerRoman"/>
      <w:lvlText w:val="%1."/>
      <w:lvlJc w:val="right"/>
      <w:pPr>
        <w:ind w:left="2302" w:hanging="360"/>
      </w:pPr>
    </w:lvl>
    <w:lvl w:ilvl="1" w:tplc="04150019" w:tentative="1">
      <w:start w:val="1"/>
      <w:numFmt w:val="lowerLetter"/>
      <w:lvlText w:val="%2."/>
      <w:lvlJc w:val="left"/>
      <w:pPr>
        <w:ind w:left="3022" w:hanging="360"/>
      </w:pPr>
    </w:lvl>
    <w:lvl w:ilvl="2" w:tplc="0415001B" w:tentative="1">
      <w:start w:val="1"/>
      <w:numFmt w:val="lowerRoman"/>
      <w:lvlText w:val="%3."/>
      <w:lvlJc w:val="right"/>
      <w:pPr>
        <w:ind w:left="3742" w:hanging="180"/>
      </w:pPr>
    </w:lvl>
    <w:lvl w:ilvl="3" w:tplc="0415000F" w:tentative="1">
      <w:start w:val="1"/>
      <w:numFmt w:val="decimal"/>
      <w:lvlText w:val="%4."/>
      <w:lvlJc w:val="left"/>
      <w:pPr>
        <w:ind w:left="4462" w:hanging="360"/>
      </w:pPr>
    </w:lvl>
    <w:lvl w:ilvl="4" w:tplc="04150019" w:tentative="1">
      <w:start w:val="1"/>
      <w:numFmt w:val="lowerLetter"/>
      <w:lvlText w:val="%5."/>
      <w:lvlJc w:val="left"/>
      <w:pPr>
        <w:ind w:left="5182" w:hanging="360"/>
      </w:pPr>
    </w:lvl>
    <w:lvl w:ilvl="5" w:tplc="0415001B" w:tentative="1">
      <w:start w:val="1"/>
      <w:numFmt w:val="lowerRoman"/>
      <w:lvlText w:val="%6."/>
      <w:lvlJc w:val="right"/>
      <w:pPr>
        <w:ind w:left="5902" w:hanging="180"/>
      </w:pPr>
    </w:lvl>
    <w:lvl w:ilvl="6" w:tplc="0415000F" w:tentative="1">
      <w:start w:val="1"/>
      <w:numFmt w:val="decimal"/>
      <w:lvlText w:val="%7."/>
      <w:lvlJc w:val="left"/>
      <w:pPr>
        <w:ind w:left="6622" w:hanging="360"/>
      </w:pPr>
    </w:lvl>
    <w:lvl w:ilvl="7" w:tplc="04150019" w:tentative="1">
      <w:start w:val="1"/>
      <w:numFmt w:val="lowerLetter"/>
      <w:lvlText w:val="%8."/>
      <w:lvlJc w:val="left"/>
      <w:pPr>
        <w:ind w:left="7342" w:hanging="360"/>
      </w:pPr>
    </w:lvl>
    <w:lvl w:ilvl="8" w:tplc="0415001B" w:tentative="1">
      <w:start w:val="1"/>
      <w:numFmt w:val="lowerRoman"/>
      <w:lvlText w:val="%9."/>
      <w:lvlJc w:val="right"/>
      <w:pPr>
        <w:ind w:left="8062" w:hanging="180"/>
      </w:pPr>
    </w:lvl>
  </w:abstractNum>
  <w:abstractNum w:abstractNumId="30">
    <w:nsid w:val="66CA1C24"/>
    <w:multiLevelType w:val="hybridMultilevel"/>
    <w:tmpl w:val="6B1EBF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6EDA71C4"/>
    <w:multiLevelType w:val="hybridMultilevel"/>
    <w:tmpl w:val="5426A06E"/>
    <w:lvl w:ilvl="0" w:tplc="489AB972">
      <w:start w:val="2"/>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08E40A3"/>
    <w:multiLevelType w:val="hybridMultilevel"/>
    <w:tmpl w:val="FCBE9020"/>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3">
    <w:nsid w:val="70B47B04"/>
    <w:multiLevelType w:val="hybridMultilevel"/>
    <w:tmpl w:val="17F8EDB6"/>
    <w:lvl w:ilvl="0" w:tplc="15AA7E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9EE0499"/>
    <w:multiLevelType w:val="hybridMultilevel"/>
    <w:tmpl w:val="FF9E15D4"/>
    <w:lvl w:ilvl="0" w:tplc="F648D18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A0329F2"/>
    <w:multiLevelType w:val="hybridMultilevel"/>
    <w:tmpl w:val="BD0E47D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35"/>
  </w:num>
  <w:num w:numId="3">
    <w:abstractNumId w:val="28"/>
  </w:num>
  <w:num w:numId="4">
    <w:abstractNumId w:val="30"/>
  </w:num>
  <w:num w:numId="5">
    <w:abstractNumId w:val="18"/>
  </w:num>
  <w:num w:numId="6">
    <w:abstractNumId w:val="1"/>
  </w:num>
  <w:num w:numId="7">
    <w:abstractNumId w:val="22"/>
  </w:num>
  <w:num w:numId="8">
    <w:abstractNumId w:val="32"/>
  </w:num>
  <w:num w:numId="9">
    <w:abstractNumId w:val="4"/>
  </w:num>
  <w:num w:numId="10">
    <w:abstractNumId w:val="5"/>
  </w:num>
  <w:num w:numId="11">
    <w:abstractNumId w:val="19"/>
  </w:num>
  <w:num w:numId="12">
    <w:abstractNumId w:val="8"/>
  </w:num>
  <w:num w:numId="13">
    <w:abstractNumId w:val="13"/>
  </w:num>
  <w:num w:numId="14">
    <w:abstractNumId w:val="29"/>
  </w:num>
  <w:num w:numId="15">
    <w:abstractNumId w:val="24"/>
  </w:num>
  <w:num w:numId="16">
    <w:abstractNumId w:val="9"/>
  </w:num>
  <w:num w:numId="17">
    <w:abstractNumId w:val="10"/>
  </w:num>
  <w:num w:numId="18">
    <w:abstractNumId w:val="16"/>
  </w:num>
  <w:num w:numId="19">
    <w:abstractNumId w:val="17"/>
  </w:num>
  <w:num w:numId="20">
    <w:abstractNumId w:val="25"/>
  </w:num>
  <w:num w:numId="21">
    <w:abstractNumId w:val="34"/>
  </w:num>
  <w:num w:numId="22">
    <w:abstractNumId w:val="26"/>
  </w:num>
  <w:num w:numId="23">
    <w:abstractNumId w:val="33"/>
  </w:num>
  <w:num w:numId="24">
    <w:abstractNumId w:val="0"/>
  </w:num>
  <w:num w:numId="25">
    <w:abstractNumId w:val="14"/>
  </w:num>
  <w:num w:numId="26">
    <w:abstractNumId w:val="23"/>
  </w:num>
  <w:num w:numId="27">
    <w:abstractNumId w:val="2"/>
  </w:num>
  <w:num w:numId="28">
    <w:abstractNumId w:val="27"/>
  </w:num>
  <w:num w:numId="29">
    <w:abstractNumId w:val="15"/>
  </w:num>
  <w:num w:numId="30">
    <w:abstractNumId w:val="31"/>
  </w:num>
  <w:num w:numId="31">
    <w:abstractNumId w:val="7"/>
  </w:num>
  <w:num w:numId="32">
    <w:abstractNumId w:val="6"/>
  </w:num>
  <w:num w:numId="33">
    <w:abstractNumId w:val="12"/>
  </w:num>
  <w:num w:numId="34">
    <w:abstractNumId w:val="21"/>
  </w:num>
  <w:num w:numId="35">
    <w:abstractNumId w:val="3"/>
  </w:num>
  <w:num w:numId="36">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C55"/>
    <w:rsid w:val="00042002"/>
    <w:rsid w:val="00042CDB"/>
    <w:rsid w:val="000457C2"/>
    <w:rsid w:val="0006000A"/>
    <w:rsid w:val="00062FBB"/>
    <w:rsid w:val="0007169F"/>
    <w:rsid w:val="00080188"/>
    <w:rsid w:val="00084E37"/>
    <w:rsid w:val="00090795"/>
    <w:rsid w:val="000A5FB2"/>
    <w:rsid w:val="000C28AA"/>
    <w:rsid w:val="000E3A69"/>
    <w:rsid w:val="001033EF"/>
    <w:rsid w:val="00125E11"/>
    <w:rsid w:val="0019115B"/>
    <w:rsid w:val="00191C1A"/>
    <w:rsid w:val="00197DF9"/>
    <w:rsid w:val="001C0AA8"/>
    <w:rsid w:val="001C50C4"/>
    <w:rsid w:val="001D1DED"/>
    <w:rsid w:val="001E7697"/>
    <w:rsid w:val="001F5106"/>
    <w:rsid w:val="001F7220"/>
    <w:rsid w:val="0021514F"/>
    <w:rsid w:val="00216F51"/>
    <w:rsid w:val="002255FA"/>
    <w:rsid w:val="0023229F"/>
    <w:rsid w:val="00242FA0"/>
    <w:rsid w:val="0024463A"/>
    <w:rsid w:val="00272F8B"/>
    <w:rsid w:val="00282018"/>
    <w:rsid w:val="002A3E93"/>
    <w:rsid w:val="002C0693"/>
    <w:rsid w:val="002C2A5E"/>
    <w:rsid w:val="002D261E"/>
    <w:rsid w:val="002F49AA"/>
    <w:rsid w:val="0030533A"/>
    <w:rsid w:val="0031559B"/>
    <w:rsid w:val="00324846"/>
    <w:rsid w:val="003324BA"/>
    <w:rsid w:val="00360C55"/>
    <w:rsid w:val="003723A2"/>
    <w:rsid w:val="003A1923"/>
    <w:rsid w:val="003E32FF"/>
    <w:rsid w:val="003E7BDE"/>
    <w:rsid w:val="003F0E5A"/>
    <w:rsid w:val="003F3C7E"/>
    <w:rsid w:val="00414077"/>
    <w:rsid w:val="004162C6"/>
    <w:rsid w:val="00426BF6"/>
    <w:rsid w:val="00430E21"/>
    <w:rsid w:val="00445881"/>
    <w:rsid w:val="00462584"/>
    <w:rsid w:val="00485216"/>
    <w:rsid w:val="00496F5E"/>
    <w:rsid w:val="004A7D9C"/>
    <w:rsid w:val="004C0641"/>
    <w:rsid w:val="004D2CE3"/>
    <w:rsid w:val="004D3D9B"/>
    <w:rsid w:val="004D4882"/>
    <w:rsid w:val="004D4CA3"/>
    <w:rsid w:val="004E562C"/>
    <w:rsid w:val="004F2F9E"/>
    <w:rsid w:val="004F5641"/>
    <w:rsid w:val="004F6D09"/>
    <w:rsid w:val="00507AA1"/>
    <w:rsid w:val="00546519"/>
    <w:rsid w:val="00551DE1"/>
    <w:rsid w:val="0055589D"/>
    <w:rsid w:val="00580F9E"/>
    <w:rsid w:val="00586FCB"/>
    <w:rsid w:val="00595070"/>
    <w:rsid w:val="005A5C44"/>
    <w:rsid w:val="005E1876"/>
    <w:rsid w:val="006035AC"/>
    <w:rsid w:val="006050ED"/>
    <w:rsid w:val="00613529"/>
    <w:rsid w:val="0061799C"/>
    <w:rsid w:val="006517B3"/>
    <w:rsid w:val="006848D1"/>
    <w:rsid w:val="006A02DF"/>
    <w:rsid w:val="006A2DF4"/>
    <w:rsid w:val="006B69D5"/>
    <w:rsid w:val="006C1D3A"/>
    <w:rsid w:val="006C50B1"/>
    <w:rsid w:val="006C7167"/>
    <w:rsid w:val="00701203"/>
    <w:rsid w:val="007027FC"/>
    <w:rsid w:val="00707D41"/>
    <w:rsid w:val="00715261"/>
    <w:rsid w:val="00720A44"/>
    <w:rsid w:val="007453BA"/>
    <w:rsid w:val="00790B32"/>
    <w:rsid w:val="00792505"/>
    <w:rsid w:val="007A3254"/>
    <w:rsid w:val="007A4C43"/>
    <w:rsid w:val="007A5EF8"/>
    <w:rsid w:val="007D2F46"/>
    <w:rsid w:val="0081299D"/>
    <w:rsid w:val="008129BB"/>
    <w:rsid w:val="00812AA4"/>
    <w:rsid w:val="00830252"/>
    <w:rsid w:val="00833445"/>
    <w:rsid w:val="008459FB"/>
    <w:rsid w:val="00845DC5"/>
    <w:rsid w:val="008A496C"/>
    <w:rsid w:val="008A5D8F"/>
    <w:rsid w:val="008C7E87"/>
    <w:rsid w:val="008D57FF"/>
    <w:rsid w:val="008E3D73"/>
    <w:rsid w:val="0093040C"/>
    <w:rsid w:val="00940EAF"/>
    <w:rsid w:val="00952819"/>
    <w:rsid w:val="00953E90"/>
    <w:rsid w:val="00964DEA"/>
    <w:rsid w:val="00967F50"/>
    <w:rsid w:val="009736F2"/>
    <w:rsid w:val="009B0A1D"/>
    <w:rsid w:val="009B20DE"/>
    <w:rsid w:val="009D4DAF"/>
    <w:rsid w:val="009F0163"/>
    <w:rsid w:val="00A22535"/>
    <w:rsid w:val="00A360EA"/>
    <w:rsid w:val="00A5577B"/>
    <w:rsid w:val="00A631ED"/>
    <w:rsid w:val="00A66934"/>
    <w:rsid w:val="00A66966"/>
    <w:rsid w:val="00A801A5"/>
    <w:rsid w:val="00A819F8"/>
    <w:rsid w:val="00AA6E27"/>
    <w:rsid w:val="00AE38E9"/>
    <w:rsid w:val="00AF010B"/>
    <w:rsid w:val="00B03506"/>
    <w:rsid w:val="00B224EA"/>
    <w:rsid w:val="00B60391"/>
    <w:rsid w:val="00B63899"/>
    <w:rsid w:val="00B736EF"/>
    <w:rsid w:val="00BB426B"/>
    <w:rsid w:val="00BB61BE"/>
    <w:rsid w:val="00BD3347"/>
    <w:rsid w:val="00BD5FF3"/>
    <w:rsid w:val="00BF3AE1"/>
    <w:rsid w:val="00C13DFE"/>
    <w:rsid w:val="00C152EF"/>
    <w:rsid w:val="00C22E9F"/>
    <w:rsid w:val="00C41679"/>
    <w:rsid w:val="00C675D4"/>
    <w:rsid w:val="00C70ACF"/>
    <w:rsid w:val="00CC6A11"/>
    <w:rsid w:val="00CE4438"/>
    <w:rsid w:val="00CF097C"/>
    <w:rsid w:val="00D02DE1"/>
    <w:rsid w:val="00D13F11"/>
    <w:rsid w:val="00D1458E"/>
    <w:rsid w:val="00D424FD"/>
    <w:rsid w:val="00D47AB0"/>
    <w:rsid w:val="00D63EAC"/>
    <w:rsid w:val="00D650EA"/>
    <w:rsid w:val="00D940FE"/>
    <w:rsid w:val="00D94E85"/>
    <w:rsid w:val="00DA1C92"/>
    <w:rsid w:val="00DD4B3D"/>
    <w:rsid w:val="00DE3CB2"/>
    <w:rsid w:val="00DF5EE5"/>
    <w:rsid w:val="00E13FD6"/>
    <w:rsid w:val="00E42FB2"/>
    <w:rsid w:val="00E456F4"/>
    <w:rsid w:val="00E53431"/>
    <w:rsid w:val="00E6440F"/>
    <w:rsid w:val="00E65319"/>
    <w:rsid w:val="00E912DF"/>
    <w:rsid w:val="00EE0C32"/>
    <w:rsid w:val="00EF4228"/>
    <w:rsid w:val="00F233C7"/>
    <w:rsid w:val="00F34CCC"/>
    <w:rsid w:val="00F47003"/>
    <w:rsid w:val="00F558C4"/>
    <w:rsid w:val="00F60F15"/>
    <w:rsid w:val="00F62E29"/>
    <w:rsid w:val="00F6631B"/>
    <w:rsid w:val="00F80965"/>
    <w:rsid w:val="00F84111"/>
    <w:rsid w:val="00FA784E"/>
    <w:rsid w:val="00FF4EF0"/>
    <w:rsid w:val="00FF511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50E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C0693"/>
    <w:rPr>
      <w:sz w:val="20"/>
      <w:szCs w:val="20"/>
    </w:rPr>
  </w:style>
  <w:style w:type="character" w:styleId="Odwoanieprzypisudolnego">
    <w:name w:val="footnote reference"/>
    <w:basedOn w:val="Domylnaczcionkaakapitu"/>
    <w:uiPriority w:val="99"/>
    <w:semiHidden/>
    <w:unhideWhenUsed/>
    <w:rsid w:val="002C0693"/>
    <w:rPr>
      <w:vertAlign w:val="superscript"/>
    </w:rPr>
  </w:style>
  <w:style w:type="paragraph" w:customStyle="1" w:styleId="Default">
    <w:name w:val="Default"/>
    <w:rsid w:val="00B0350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050E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C50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50C4"/>
  </w:style>
  <w:style w:type="paragraph" w:styleId="Stopka">
    <w:name w:val="footer"/>
    <w:basedOn w:val="Normalny"/>
    <w:link w:val="StopkaZnak"/>
    <w:uiPriority w:val="99"/>
    <w:unhideWhenUsed/>
    <w:rsid w:val="001C50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50C4"/>
  </w:style>
  <w:style w:type="paragraph" w:styleId="Tekstdymka">
    <w:name w:val="Balloon Text"/>
    <w:basedOn w:val="Normalny"/>
    <w:link w:val="TekstdymkaZnak"/>
    <w:uiPriority w:val="99"/>
    <w:semiHidden/>
    <w:unhideWhenUsed/>
    <w:rsid w:val="00551DE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51DE1"/>
    <w:rPr>
      <w:rFonts w:ascii="Tahoma" w:hAnsi="Tahoma" w:cs="Tahoma"/>
      <w:sz w:val="16"/>
      <w:szCs w:val="16"/>
    </w:rPr>
  </w:style>
  <w:style w:type="paragraph" w:styleId="Tekstpodstawowy">
    <w:name w:val="Body Text"/>
    <w:basedOn w:val="Normalny"/>
    <w:link w:val="TekstpodstawowyZnak"/>
    <w:rsid w:val="006035AC"/>
    <w:pPr>
      <w:tabs>
        <w:tab w:val="left" w:pos="900"/>
      </w:tabs>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6035AC"/>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4D4882"/>
    <w:pPr>
      <w:spacing w:after="120" w:line="276" w:lineRule="auto"/>
      <w:ind w:left="720"/>
      <w:contextualSpacing/>
    </w:pPr>
  </w:style>
  <w:style w:type="character" w:customStyle="1" w:styleId="AkapitzlistZnak">
    <w:name w:val="Akapit z listą Znak"/>
    <w:basedOn w:val="Domylnaczcionkaakapitu"/>
    <w:link w:val="Akapitzlist"/>
    <w:uiPriority w:val="34"/>
    <w:rsid w:val="004D4882"/>
  </w:style>
  <w:style w:type="character" w:styleId="Hipercze">
    <w:name w:val="Hyperlink"/>
    <w:basedOn w:val="Domylnaczcionkaakapitu"/>
    <w:uiPriority w:val="99"/>
    <w:unhideWhenUsed/>
    <w:rsid w:val="00CE4438"/>
    <w:rPr>
      <w:color w:val="0563C1" w:themeColor="hyperlink"/>
      <w:u w:val="single"/>
    </w:rPr>
  </w:style>
  <w:style w:type="paragraph" w:styleId="Tekstprzypisudolnego">
    <w:name w:val="footnote text"/>
    <w:basedOn w:val="Normalny"/>
    <w:link w:val="TekstprzypisudolnegoZnak"/>
    <w:uiPriority w:val="99"/>
    <w:semiHidden/>
    <w:unhideWhenUsed/>
    <w:rsid w:val="002C06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2C0693"/>
    <w:rPr>
      <w:sz w:val="20"/>
      <w:szCs w:val="20"/>
    </w:rPr>
  </w:style>
  <w:style w:type="character" w:styleId="Odwoanieprzypisudolnego">
    <w:name w:val="footnote reference"/>
    <w:basedOn w:val="Domylnaczcionkaakapitu"/>
    <w:uiPriority w:val="99"/>
    <w:semiHidden/>
    <w:unhideWhenUsed/>
    <w:rsid w:val="002C0693"/>
    <w:rPr>
      <w:vertAlign w:val="superscript"/>
    </w:rPr>
  </w:style>
  <w:style w:type="paragraph" w:customStyle="1" w:styleId="Default">
    <w:name w:val="Default"/>
    <w:rsid w:val="00B035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55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682F8-B31E-4570-866C-8B2DA1346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1020</Words>
  <Characters>6124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Wiktorczyk Maria</dc:creator>
  <cp:lastModifiedBy>Krzystolik-Miketa Maria</cp:lastModifiedBy>
  <cp:revision>8</cp:revision>
  <cp:lastPrinted>2015-06-15T06:02:00Z</cp:lastPrinted>
  <dcterms:created xsi:type="dcterms:W3CDTF">2018-06-08T07:01:00Z</dcterms:created>
  <dcterms:modified xsi:type="dcterms:W3CDTF">2018-06-18T06:51:00Z</dcterms:modified>
</cp:coreProperties>
</file>